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5A5720FA"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9A570A">
        <w:rPr>
          <w:rFonts w:ascii="Franklin Gothic Medium" w:hAnsi="Franklin Gothic Medium"/>
          <w:b/>
          <w:bCs/>
          <w:sz w:val="32"/>
          <w:szCs w:val="36"/>
        </w:rPr>
        <w:t>March 31, 2023</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21E95E71"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 xml:space="preserve">Place of </w:t>
      </w:r>
      <w:proofErr w:type="gramStart"/>
      <w:r w:rsidRPr="008B2797">
        <w:rPr>
          <w:rFonts w:ascii="Franklin Gothic Medium" w:hAnsi="Franklin Gothic Medium"/>
          <w:i/>
          <w:iCs/>
          <w:sz w:val="20"/>
        </w:rPr>
        <w:t>Incorporation, if</w:t>
      </w:r>
      <w:proofErr w:type="gramEnd"/>
      <w:r w:rsidRPr="008B2797">
        <w:rPr>
          <w:rFonts w:ascii="Franklin Gothic Medium" w:hAnsi="Franklin Gothic Medium"/>
          <w:i/>
          <w:iCs/>
          <w:sz w:val="20"/>
        </w:rPr>
        <w:t xml:space="preserve">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0BC4AC8B"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r>
      <w:r w:rsidR="00147613">
        <w:rPr>
          <w:rFonts w:ascii="Franklin Gothic Medium" w:hAnsi="Franklin Gothic Medium"/>
          <w:i/>
          <w:iCs/>
          <w:sz w:val="20"/>
        </w:rPr>
        <w:t xml:space="preserve">Fax No. or </w:t>
      </w:r>
      <w:r w:rsidR="00DD394B">
        <w:rPr>
          <w:rFonts w:ascii="Franklin Gothic Medium" w:hAnsi="Franklin Gothic Medium"/>
          <w:i/>
          <w:iCs/>
          <w:sz w:val="20"/>
        </w:rPr>
        <w:t>Email Address</w:t>
      </w:r>
      <w:r w:rsidR="00DD394B" w:rsidDel="00DD394B">
        <w:rPr>
          <w:rFonts w:ascii="Franklin Gothic Medium" w:hAnsi="Franklin Gothic Medium"/>
          <w:i/>
          <w:iCs/>
          <w:sz w:val="20"/>
        </w:rPr>
        <w:t xml:space="preserve"> </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46"/>
        <w:gridCol w:w="2943"/>
      </w:tblGrid>
      <w:tr w:rsidR="00DD394B" w14:paraId="561D77AC" w14:textId="77777777" w:rsidTr="00147613">
        <w:trPr>
          <w:trHeight w:val="360"/>
        </w:trPr>
        <w:tc>
          <w:tcPr>
            <w:tcW w:w="1834" w:type="pct"/>
            <w:tcBorders>
              <w:top w:val="single" w:sz="4" w:space="0" w:color="auto"/>
              <w:left w:val="single" w:sz="4" w:space="0" w:color="auto"/>
              <w:bottom w:val="single" w:sz="4" w:space="0" w:color="auto"/>
              <w:right w:val="single" w:sz="4" w:space="0" w:color="auto"/>
            </w:tcBorders>
            <w:vAlign w:val="center"/>
          </w:tcPr>
          <w:p w14:paraId="7391FAEF"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40" w:type="pct"/>
            <w:tcBorders>
              <w:top w:val="nil"/>
              <w:left w:val="single" w:sz="4" w:space="0" w:color="auto"/>
              <w:bottom w:val="nil"/>
              <w:right w:val="single" w:sz="4" w:space="0" w:color="auto"/>
            </w:tcBorders>
            <w:vAlign w:val="center"/>
          </w:tcPr>
          <w:p w14:paraId="425495D7" w14:textId="77777777" w:rsidR="00DD394B" w:rsidRDefault="00DD394B" w:rsidP="00F064A1">
            <w:pPr>
              <w:keepNext/>
              <w:keepLines/>
              <w:jc w:val="both"/>
              <w:rPr>
                <w:rFonts w:ascii="Franklin Gothic Medium" w:hAnsi="Franklin Gothic Medium"/>
              </w:rPr>
            </w:pPr>
          </w:p>
        </w:tc>
        <w:tc>
          <w:tcPr>
            <w:tcW w:w="2526" w:type="pct"/>
            <w:tcBorders>
              <w:top w:val="single" w:sz="4" w:space="0" w:color="auto"/>
              <w:left w:val="single" w:sz="4" w:space="0" w:color="auto"/>
              <w:bottom w:val="single" w:sz="4" w:space="0" w:color="auto"/>
              <w:right w:val="single" w:sz="4" w:space="0" w:color="auto"/>
            </w:tcBorders>
            <w:vAlign w:val="center"/>
          </w:tcPr>
          <w:p w14:paraId="42052C0D"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40528898"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147613">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245"/>
      </w:tblGrid>
      <w:tr w:rsidR="004728B6" w14:paraId="03A9B3AA" w14:textId="77777777" w:rsidTr="00147613">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4728B6" w:rsidRDefault="004728B6" w:rsidP="00CA09C2">
            <w:pPr>
              <w:jc w:val="both"/>
              <w:rPr>
                <w:rFonts w:ascii="Franklin Gothic Medium" w:hAnsi="Franklin Gothic Medium"/>
              </w:rPr>
            </w:pPr>
          </w:p>
        </w:tc>
        <w:tc>
          <w:tcPr>
            <w:tcW w:w="2245" w:type="dxa"/>
            <w:tcBorders>
              <w:top w:val="single" w:sz="4" w:space="0" w:color="auto"/>
              <w:left w:val="single" w:sz="4" w:space="0" w:color="auto"/>
              <w:bottom w:val="single" w:sz="4" w:space="0" w:color="auto"/>
              <w:right w:val="single" w:sz="4" w:space="0" w:color="auto"/>
            </w:tcBorders>
            <w:vAlign w:val="center"/>
          </w:tcPr>
          <w:p w14:paraId="57E89242"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proofErr w:type="spellStart"/>
            <w:r>
              <w:rPr>
                <w:rFonts w:ascii="Franklin Gothic Medium" w:hAnsi="Franklin Gothic Medium"/>
                <w:sz w:val="22"/>
                <w:lang w:val="fr-FR"/>
              </w:rPr>
              <w:t>Amount</w:t>
            </w:r>
            <w:proofErr w:type="spellEnd"/>
            <w:r>
              <w:rPr>
                <w:rFonts w:ascii="Franklin Gothic Medium" w:hAnsi="Franklin Gothic Medium"/>
                <w:sz w:val="22"/>
                <w:lang w:val="fr-FR"/>
              </w:rPr>
              <w:t xml:space="preserve">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 xml:space="preserve">Financial Document Page </w:t>
            </w:r>
            <w:proofErr w:type="spellStart"/>
            <w:r>
              <w:rPr>
                <w:rFonts w:ascii="Franklin Gothic Medium" w:hAnsi="Franklin Gothic Medium"/>
                <w:sz w:val="22"/>
                <w:lang w:val="fr-FR"/>
              </w:rPr>
              <w:t>Number</w:t>
            </w:r>
            <w:proofErr w:type="spellEnd"/>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0"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0"/>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1"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1"/>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B04FB5">
        <w:rPr>
          <w:rFonts w:ascii="Franklin Gothic Medium" w:hAnsi="Franklin Gothic Medium"/>
          <w:b/>
          <w:iCs/>
        </w:rPr>
      </w:r>
      <w:r w:rsidR="00B04FB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3"/>
      <w:footerReference w:type="default" r:id="rId14"/>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6F26" w14:textId="77777777" w:rsidR="0071221B" w:rsidRDefault="0071221B">
      <w:r>
        <w:separator/>
      </w:r>
    </w:p>
  </w:endnote>
  <w:endnote w:type="continuationSeparator" w:id="0">
    <w:p w14:paraId="04920A30" w14:textId="77777777" w:rsidR="0071221B" w:rsidRDefault="0071221B">
      <w:r>
        <w:continuationSeparator/>
      </w:r>
    </w:p>
  </w:endnote>
  <w:endnote w:type="continuationNotice" w:id="1">
    <w:p w14:paraId="4597F64C" w14:textId="77777777" w:rsidR="0071221B" w:rsidRDefault="0071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altName w:val="Franklin Gothic"/>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F06C" w14:textId="77777777" w:rsidR="0071221B" w:rsidRDefault="0071221B">
      <w:r>
        <w:separator/>
      </w:r>
    </w:p>
  </w:footnote>
  <w:footnote w:type="continuationSeparator" w:id="0">
    <w:p w14:paraId="41E310B8" w14:textId="77777777" w:rsidR="0071221B" w:rsidRDefault="0071221B">
      <w:r>
        <w:continuationSeparator/>
      </w:r>
    </w:p>
  </w:footnote>
  <w:footnote w:type="continuationNotice" w:id="1">
    <w:p w14:paraId="45DC23EC" w14:textId="77777777" w:rsidR="0071221B" w:rsidRDefault="0071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18B62A9E" w:rsidR="00636BA6" w:rsidRPr="0036223F" w:rsidRDefault="00F3490A" w:rsidP="00132712">
    <w:pPr>
      <w:pStyle w:val="Header"/>
      <w:rPr>
        <w:rFonts w:ascii="Franklin Gothic Medium" w:hAnsi="Franklin Gothic Medium"/>
        <w:bCs/>
      </w:rPr>
    </w:pPr>
    <w:r>
      <w:rPr>
        <w:rFonts w:ascii="Franklin Gothic Medium" w:hAnsi="Franklin Gothic Medium"/>
        <w:bCs/>
      </w:rPr>
      <w:t>March</w:t>
    </w:r>
    <w:r w:rsidRPr="0036223F">
      <w:rPr>
        <w:rFonts w:ascii="Franklin Gothic Medium" w:hAnsi="Franklin Gothic Medium"/>
        <w:bCs/>
      </w:rPr>
      <w:t xml:space="preserve"> </w:t>
    </w:r>
    <w:r w:rsidR="009A570A">
      <w:rPr>
        <w:rFonts w:ascii="Franklin Gothic Medium" w:hAnsi="Franklin Gothic Medium"/>
        <w:bCs/>
      </w:rPr>
      <w:t>13, 2023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R7ixwv+nitirll8z1jFS/o/xvIxfwcM7iLVJhZZD5Yos7ZgR7A4A6h8ulZaCkag5ebfzQotODugwimKpPNyQ==" w:salt="zffw+vSsgFFzvExVwwePrg=="/>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27039"/>
    <w:rsid w:val="0003066D"/>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17F44"/>
    <w:rsid w:val="00120003"/>
    <w:rsid w:val="00123E3C"/>
    <w:rsid w:val="00132712"/>
    <w:rsid w:val="001345B6"/>
    <w:rsid w:val="00137467"/>
    <w:rsid w:val="00145ECD"/>
    <w:rsid w:val="00147613"/>
    <w:rsid w:val="00156CA5"/>
    <w:rsid w:val="001614B5"/>
    <w:rsid w:val="001618DB"/>
    <w:rsid w:val="00163A2F"/>
    <w:rsid w:val="00165568"/>
    <w:rsid w:val="00166BAE"/>
    <w:rsid w:val="00174608"/>
    <w:rsid w:val="001B10E2"/>
    <w:rsid w:val="001B5091"/>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4BED"/>
    <w:rsid w:val="00387DB6"/>
    <w:rsid w:val="00392F48"/>
    <w:rsid w:val="003A21EC"/>
    <w:rsid w:val="003A5554"/>
    <w:rsid w:val="003B4B4E"/>
    <w:rsid w:val="003B5CD1"/>
    <w:rsid w:val="003B7964"/>
    <w:rsid w:val="003C5439"/>
    <w:rsid w:val="0041393A"/>
    <w:rsid w:val="004209B4"/>
    <w:rsid w:val="00432AD6"/>
    <w:rsid w:val="00437750"/>
    <w:rsid w:val="00445706"/>
    <w:rsid w:val="0044626E"/>
    <w:rsid w:val="0045320A"/>
    <w:rsid w:val="004568EA"/>
    <w:rsid w:val="00460974"/>
    <w:rsid w:val="00463371"/>
    <w:rsid w:val="0047062E"/>
    <w:rsid w:val="004728B6"/>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03E3A"/>
    <w:rsid w:val="0071221B"/>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570A"/>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04FB5"/>
    <w:rsid w:val="00B11AB4"/>
    <w:rsid w:val="00B309E5"/>
    <w:rsid w:val="00B31443"/>
    <w:rsid w:val="00B37726"/>
    <w:rsid w:val="00B377BB"/>
    <w:rsid w:val="00B44515"/>
    <w:rsid w:val="00B466FB"/>
    <w:rsid w:val="00B472B9"/>
    <w:rsid w:val="00B52991"/>
    <w:rsid w:val="00B6146A"/>
    <w:rsid w:val="00B7262C"/>
    <w:rsid w:val="00B7762C"/>
    <w:rsid w:val="00B87D6A"/>
    <w:rsid w:val="00B934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5104"/>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394B"/>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490A"/>
    <w:rsid w:val="00F37E3C"/>
    <w:rsid w:val="00F45C71"/>
    <w:rsid w:val="00F51990"/>
    <w:rsid w:val="00F607BD"/>
    <w:rsid w:val="00F60F21"/>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epohiocb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60DF-6453-4122-8B9D-861F291FA1F8}">
  <ds:schemaRefs>
    <ds:schemaRef ds:uri="http://schemas.openxmlformats.org/officeDocument/2006/bibliography"/>
  </ds:schemaRefs>
</ds:datastoreItem>
</file>

<file path=customXml/itemProps2.xml><?xml version="1.0" encoding="utf-8"?>
<ds:datastoreItem xmlns:ds="http://schemas.openxmlformats.org/officeDocument/2006/customXml" ds:itemID="{E0938581-2849-49C7-88AE-7F80463E19F9}">
  <ds:schemaRefs>
    <ds:schemaRef ds:uri="http://schemas.openxmlformats.org/officeDocument/2006/bibliography"/>
  </ds:schemaRefs>
</ds:datastoreItem>
</file>

<file path=customXml/itemProps3.xml><?xml version="1.0" encoding="utf-8"?>
<ds:datastoreItem xmlns:ds="http://schemas.openxmlformats.org/officeDocument/2006/customXml" ds:itemID="{F8E9571B-04B1-412F-8386-00922886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7049</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2023-03-13T17:09:00Z</dcterms:created>
  <dcterms:modified xsi:type="dcterms:W3CDTF">2023-03-13T17:09:00Z</dcterms:modified>
</cp:coreProperties>
</file>